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1sogb0g9dt6h" w:id="0"/>
      <w:bookmarkEnd w:id="0"/>
      <w:r w:rsidDel="00000000" w:rsidR="00000000" w:rsidRPr="00000000">
        <w:rPr>
          <w:rtl w:val="0"/>
        </w:rPr>
        <w:t xml:space="preserve">MEVIn Säännöt (VOIMASSA)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5 § Jäsenen eroaminen ja erottaminen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Jäsenellä on oikeus erota yhdistyksestä ilmoittamalla siitä kirjallisesti hallitukselle tai sen puheenjohtajalle taikka ilmoittamalla erosta yhdistyksen kokouksessa merkittäväksi pöytäkirjaan.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Hallitus voi erottaa jäsenen yhdistyksestä, jos jäsen on jättänyt erääntyneen jäsenmaksun maksamatta kalenterivuodelta tai on muuten jättänyt täyttämättä ne velvoitukset, joihin hän on yhdistykseen liittymällä</w:t>
      </w:r>
      <w:r w:rsidDel="00000000" w:rsidR="00000000" w:rsidRPr="00000000">
        <w:rPr>
          <w:rtl w:val="0"/>
        </w:rPr>
        <w:t xml:space="preserve"> sitoutunu</w:t>
      </w:r>
      <w:r w:rsidDel="00000000" w:rsidR="00000000" w:rsidRPr="00000000">
        <w:rPr>
          <w:rtl w:val="0"/>
        </w:rPr>
        <w:t xml:space="preserve">t </w:t>
      </w:r>
      <w:r w:rsidDel="00000000" w:rsidR="00000000" w:rsidRPr="00000000">
        <w:rPr>
          <w:rtl w:val="0"/>
        </w:rPr>
        <w:t xml:space="preserve">tai on menettelyllään yhdistyksessä tai sen ulkopuolella huomattavasti vahingoittanut yhdistystä tai ei enää täytä laissa taikka yhdistyksen säännöissä mainittuja jäsenyyden ehtoja.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1o6wxncjzuy1" w:id="1"/>
      <w:bookmarkEnd w:id="1"/>
      <w:r w:rsidDel="00000000" w:rsidR="00000000" w:rsidRPr="00000000">
        <w:rPr>
          <w:rtl w:val="0"/>
        </w:rPr>
        <w:t xml:space="preserve">MEVIn Säännöt (EHDOTUS muutokseksi, punaisella lisäykset)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 § Jäsenen eroaminen ja erottaminen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Jäsenellä on oikeus erota yhdistyksestä ilmoittamalla siitä kirjallisesti hallitukselle tai sen puheenjohtajalle taikka ilmoittamalla erosta yhdistyksen kokouksessa merkittäväksi pöytäkirjaan.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Hallitus voi erottaa jäsenen yhdistyksestä, jos jäsen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 jättänyt erääntyneen jäsenmaksun maksamatta kalenterivuodelta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 muuten jättänyt täyttämättä ne velvoitukset, joihin hän on yhdistykseen liittymällä sitoutunut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 menettelyllään yhdistyksessä tai sen ulkopuolella huomattavasti vahingoittanut yhdistystä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osoittaa merkittävää ja toistuvaa piittaamattomuutta yhdistyksen kaluston </w:t>
        <w:tab/>
        <w:t xml:space="preserve">käyttöä ja turvallisuutta koskevia ohjeita kohtaan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on käyttäytynyt uhkaavasti, loukkaavasti tai häiritsevästi toista jäsentä tai seuran tarkoitukseen liittyvään toimintaan liittyvää henkilöä kohtaan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Syyllistyy Olympiakomitean alaisen urheilun eettisen kurinpitolautakunnan kurinpitomääräyksissä määriteltyyn rangaistavaan tekoon. https://www.eettinenkurinpitolautakunta.fi/kurinpitomaaraykset/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ei enää täytä laissa taikka yhdistyksen säännöissä mainittuja jäsenyyden ehtoja.</w:t>
      </w:r>
    </w:p>
    <w:p w:rsidR="00000000" w:rsidDel="00000000" w:rsidP="00000000" w:rsidRDefault="00000000" w:rsidRPr="00000000" w14:paraId="00000015">
      <w:pPr>
        <w:spacing w:after="180" w:before="24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Jäsenelle varataan tilaisuus selityksen antamiseen ennen erottamispäätöksen tekemistä, paitsi jos erottamisen syynä on jäsenmaksun maksamatta jättäminen. Erotetulla ei ole oikeutta vaatia takaisin yhdistykselle suorittamiaan maksuja.</w:t>
      </w:r>
    </w:p>
    <w:p w:rsidR="00000000" w:rsidDel="00000000" w:rsidP="00000000" w:rsidRDefault="00000000" w:rsidRPr="00000000" w14:paraId="00000016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Erottamista lievempiä kurinpitotoimia, joista hallitus voi päättää jäsentä kohtaan ennen erottamista ovat: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Kirjallinen varoitus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Määräaikainen kielto osallistua seuran toimintaan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Seuran kaluston määräaikainen käyttökielto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Kaluston säilytyspaikkaoikeuden menetys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Kielto edustaa seuraa kilpailuissa</w:t>
      </w:r>
    </w:p>
    <w:p w:rsidR="00000000" w:rsidDel="00000000" w:rsidP="00000000" w:rsidRDefault="00000000" w:rsidRPr="00000000" w14:paraId="0000001C">
      <w:pPr>
        <w:spacing w:after="180" w:before="240" w:lineRule="auto"/>
        <w:rPr/>
      </w:pPr>
      <w:r w:rsidDel="00000000" w:rsidR="00000000" w:rsidRPr="00000000">
        <w:rPr>
          <w:color w:val="ff0000"/>
          <w:rtl w:val="0"/>
        </w:rPr>
        <w:t xml:space="preserve">Päätös kurinpitotoimista tulee voimaan heti ja sen katsotaan tulleen asianomaisen tietoon viisi päivää sen jälkeen, kun päätös on lähetetty jäsenelle. Päätös lähetetään sähköpostitse jäsenrekisterissä olevaan osoitteeseen.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